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Governança Global em Tempos Voláteis</w:t>
      </w:r>
    </w:p>
    <w:p w:rsidR="00000000" w:rsidDel="00000000" w:rsidP="00000000" w:rsidRDefault="00000000" w:rsidRPr="00000000" w14:paraId="00000002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obra apresenta uma coletânea de trabalhos interdisciplinares desenvolvidos por acadêmicos, internacionalistas, juristas e outros profissionais, com foco na análise e discussão de temas relacionados ao direito internacional e às relações internacionais. A partir de abordagens práticas, teóricas e ou críticas, os textos buscam problematizar os principais desafios contemporâneos da sociedade internacional e tangenciar diferentes temas que perpassam.</w:t>
      </w:r>
    </w:p>
    <w:sectPr>
      <w:pgSz w:h="16838" w:w="11906" w:orient="portrait"/>
      <w:pgMar w:bottom="1134" w:top="1701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Td8r3r+jafhcC5lzFCRFb0cXYA==">CgMxLjA4AHIhMXBoYWJld09WNWI0RzBsZWRVSmthMUJZXzFTeVpub3Fz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2026-01-26T19:03:02.9542924Z</dcterms:created>
  <dc:creator>Gabriel Ralile</dc:creator>
</cp:coreProperties>
</file>